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D5F68" w:rsidRPr="009D5F68" w:rsidRDefault="009D5F68" w:rsidP="009D5F68">
      <w:pPr>
        <w:pStyle w:val="Sinespaciado"/>
        <w:jc w:val="center"/>
        <w:rPr>
          <w:rFonts w:ascii="Arial" w:hAnsi="Arial" w:cs="Arial"/>
          <w:b/>
          <w:bCs/>
        </w:rPr>
      </w:pPr>
      <w:r w:rsidRPr="009D5F68">
        <w:rPr>
          <w:rFonts w:ascii="Arial" w:hAnsi="Arial" w:cs="Arial"/>
          <w:b/>
          <w:bCs/>
        </w:rPr>
        <w:t>RECIBE ANA PATY PERALTA NUEVO EQUIPAMIENTO PARA AMPLIAR SERVICIOS A NIÑAS, NIÑOS Y JÓVENES EN LOS CDC DIF PILARES</w:t>
      </w:r>
    </w:p>
    <w:p w:rsidR="009D5F68" w:rsidRPr="009D5F68" w:rsidRDefault="009D5F68" w:rsidP="009D5F68">
      <w:pPr>
        <w:pStyle w:val="Sinespaciado"/>
        <w:jc w:val="both"/>
        <w:rPr>
          <w:rFonts w:ascii="Arial" w:hAnsi="Arial" w:cs="Arial"/>
        </w:rPr>
      </w:pPr>
    </w:p>
    <w:p w:rsidR="009D5F68" w:rsidRPr="009D5F68" w:rsidRDefault="009D5F68" w:rsidP="009D5F68">
      <w:pPr>
        <w:pStyle w:val="Sinespaciado"/>
        <w:jc w:val="both"/>
        <w:rPr>
          <w:rFonts w:ascii="Arial" w:hAnsi="Arial" w:cs="Arial"/>
        </w:rPr>
      </w:pPr>
      <w:r w:rsidRPr="009D5F68">
        <w:rPr>
          <w:rFonts w:ascii="Arial" w:hAnsi="Arial" w:cs="Arial"/>
        </w:rPr>
        <w:t>•</w:t>
      </w:r>
      <w:r w:rsidRPr="009D5F68">
        <w:rPr>
          <w:rFonts w:ascii="Arial" w:hAnsi="Arial" w:cs="Arial"/>
        </w:rPr>
        <w:tab/>
        <w:t>Agradece al Gobierno de Quintana Roo por sumar esfuerzos para mejorar las instalaciones de estos espacios comunitarios</w:t>
      </w:r>
    </w:p>
    <w:p w:rsidR="009D5F68" w:rsidRPr="009D5F68" w:rsidRDefault="009D5F68" w:rsidP="009D5F68">
      <w:pPr>
        <w:pStyle w:val="Sinespaciado"/>
        <w:jc w:val="both"/>
        <w:rPr>
          <w:rFonts w:ascii="Arial" w:hAnsi="Arial" w:cs="Arial"/>
        </w:rPr>
      </w:pPr>
      <w:r w:rsidRPr="009D5F68">
        <w:rPr>
          <w:rFonts w:ascii="Arial" w:hAnsi="Arial" w:cs="Arial"/>
        </w:rPr>
        <w:t>•</w:t>
      </w:r>
      <w:r w:rsidRPr="009D5F68">
        <w:rPr>
          <w:rFonts w:ascii="Arial" w:hAnsi="Arial" w:cs="Arial"/>
        </w:rPr>
        <w:tab/>
        <w:t xml:space="preserve">Seis CDC DIF PILARES reciben equipamiento en Quintana Roo: Benito Juárez, Tulum, Cozumel y Playa del Carmen </w:t>
      </w:r>
    </w:p>
    <w:p w:rsidR="009D5F68" w:rsidRPr="009D5F68" w:rsidRDefault="009D5F68" w:rsidP="009D5F68">
      <w:pPr>
        <w:pStyle w:val="Sinespaciado"/>
        <w:jc w:val="both"/>
        <w:rPr>
          <w:rFonts w:ascii="Arial" w:hAnsi="Arial" w:cs="Arial"/>
          <w:b/>
          <w:bCs/>
        </w:rPr>
      </w:pPr>
    </w:p>
    <w:p w:rsidR="009D5F68" w:rsidRPr="009D5F68" w:rsidRDefault="009D5F68" w:rsidP="009D5F68">
      <w:pPr>
        <w:pStyle w:val="Sinespaciado"/>
        <w:jc w:val="both"/>
        <w:rPr>
          <w:rFonts w:ascii="Arial" w:hAnsi="Arial" w:cs="Arial"/>
        </w:rPr>
      </w:pPr>
      <w:r w:rsidRPr="009D5F68">
        <w:rPr>
          <w:rFonts w:ascii="Arial" w:hAnsi="Arial" w:cs="Arial"/>
          <w:b/>
          <w:bCs/>
        </w:rPr>
        <w:t>Cancún, Q. R., a 24 de septiembre de 2026.-</w:t>
      </w:r>
      <w:r w:rsidRPr="009D5F68">
        <w:rPr>
          <w:rFonts w:ascii="Arial" w:hAnsi="Arial" w:cs="Arial"/>
        </w:rPr>
        <w:t xml:space="preserve"> Como autoridad anfitriona, la Presidenta Municipal, Ana Paty Peralta, atestiguó la “Entrega de Equipamiento para el Fortalecimiento de los Centros de Desarrollo Comunitario (CDC) DIF PILARES del Estado de Quintana Roo”, mediante la cual tres Centros de Benito Juárez recibieron nuevo mobiliario, equipo e insumos para fortalecer las actividades y servicios que ofrecen a niñas, niños, adolescentes y sus familias.</w:t>
      </w:r>
    </w:p>
    <w:p w:rsidR="009D5F68" w:rsidRPr="009D5F68" w:rsidRDefault="009D5F68" w:rsidP="009D5F68">
      <w:pPr>
        <w:pStyle w:val="Sinespaciado"/>
        <w:jc w:val="both"/>
        <w:rPr>
          <w:rFonts w:ascii="Arial" w:hAnsi="Arial" w:cs="Arial"/>
        </w:rPr>
      </w:pPr>
    </w:p>
    <w:p w:rsidR="009D5F68" w:rsidRPr="009D5F68" w:rsidRDefault="009D5F68" w:rsidP="009D5F68">
      <w:pPr>
        <w:pStyle w:val="Sinespaciado"/>
        <w:jc w:val="both"/>
        <w:rPr>
          <w:rFonts w:ascii="Arial" w:hAnsi="Arial" w:cs="Arial"/>
        </w:rPr>
      </w:pPr>
      <w:r w:rsidRPr="009D5F68">
        <w:rPr>
          <w:rFonts w:ascii="Arial" w:hAnsi="Arial" w:cs="Arial"/>
        </w:rPr>
        <w:t>Durante el acto realizado en el CDC DIF PILARES 234, la Primera Autoridad Municipal destacó y agradeció el respaldo de la Gobernadora, Mara Lezama y de la presidenta honoraria del Sistema DIF Quintana Roo, Verónica Lezama, por impulsar acciones que permiten contar con espacios comunitarios mejor equipados, dignos y funcionales, donde las nuevas generaciones pueden encontrar herramientas para aprender, convivir, desarrollar sus talentos y adquirir nuevas habilidades.</w:t>
      </w:r>
    </w:p>
    <w:p w:rsidR="009D5F68" w:rsidRPr="009D5F68" w:rsidRDefault="009D5F68" w:rsidP="009D5F68">
      <w:pPr>
        <w:pStyle w:val="Sinespaciado"/>
        <w:jc w:val="both"/>
        <w:rPr>
          <w:rFonts w:ascii="Arial" w:hAnsi="Arial" w:cs="Arial"/>
        </w:rPr>
      </w:pPr>
    </w:p>
    <w:p w:rsidR="009D5F68" w:rsidRPr="009D5F68" w:rsidRDefault="009D5F68" w:rsidP="009D5F68">
      <w:pPr>
        <w:pStyle w:val="Sinespaciado"/>
        <w:jc w:val="both"/>
        <w:rPr>
          <w:rFonts w:ascii="Arial" w:hAnsi="Arial" w:cs="Arial"/>
        </w:rPr>
      </w:pPr>
      <w:r w:rsidRPr="009D5F68">
        <w:rPr>
          <w:rFonts w:ascii="Arial" w:hAnsi="Arial" w:cs="Arial"/>
        </w:rPr>
        <w:t xml:space="preserve">Explicó que en Cancún fueron beneficiados los CDC DIF PILARES de Villas Otoch Paraíso, de la Supermanzana 234 y 227, fortaleciendo áreas educativas, pedagógicas y lúdicas; deportivas y recreativas; de salud y bienestar; cocina y repostería; tecnología; formación para el trabajo, así como mobiliario y apoyo operativo. </w:t>
      </w:r>
    </w:p>
    <w:p w:rsidR="009D5F68" w:rsidRPr="009D5F68" w:rsidRDefault="009D5F68" w:rsidP="009D5F68">
      <w:pPr>
        <w:pStyle w:val="Sinespaciado"/>
        <w:jc w:val="both"/>
        <w:rPr>
          <w:rFonts w:ascii="Arial" w:hAnsi="Arial" w:cs="Arial"/>
        </w:rPr>
      </w:pPr>
    </w:p>
    <w:p w:rsidR="009D5F68" w:rsidRPr="009D5F68" w:rsidRDefault="009D5F68" w:rsidP="009D5F68">
      <w:pPr>
        <w:pStyle w:val="Sinespaciado"/>
        <w:jc w:val="both"/>
        <w:rPr>
          <w:rFonts w:ascii="Arial" w:hAnsi="Arial" w:cs="Arial"/>
        </w:rPr>
      </w:pPr>
      <w:r w:rsidRPr="009D5F68">
        <w:rPr>
          <w:rFonts w:ascii="Arial" w:hAnsi="Arial" w:cs="Arial"/>
        </w:rPr>
        <w:t xml:space="preserve">La Gobernadora destacó que este fortalecimiento no se limita a Benito Juárez, ya que se equiparon seis CDC DIF PILARES en Quintana Roo, con presencia en Tulum, Cozumel y Playa del Carmen, para ampliar la capacidad de atención y acercar servicios y oportunidades a más comunidades. </w:t>
      </w:r>
    </w:p>
    <w:p w:rsidR="009D5F68" w:rsidRPr="009D5F68" w:rsidRDefault="009D5F68" w:rsidP="009D5F68">
      <w:pPr>
        <w:pStyle w:val="Sinespaciado"/>
        <w:jc w:val="both"/>
        <w:rPr>
          <w:rFonts w:ascii="Arial" w:hAnsi="Arial" w:cs="Arial"/>
        </w:rPr>
      </w:pPr>
    </w:p>
    <w:p w:rsidR="009D5F68" w:rsidRPr="009D5F68" w:rsidRDefault="009D5F68" w:rsidP="009D5F68">
      <w:pPr>
        <w:pStyle w:val="Sinespaciado"/>
        <w:jc w:val="both"/>
        <w:rPr>
          <w:rFonts w:ascii="Arial" w:hAnsi="Arial" w:cs="Arial"/>
        </w:rPr>
      </w:pPr>
      <w:r w:rsidRPr="009D5F68">
        <w:rPr>
          <w:rFonts w:ascii="Arial" w:hAnsi="Arial" w:cs="Arial"/>
        </w:rPr>
        <w:t xml:space="preserve">Por su parte, Verónica Lezama, resaltó la importancia de que estos Centros cuenten con las herramientas necesarias para ofrecer una atención integral, al señalar que el equipamiento fortalece la operación de los espacios y permite ampliar las posibilidades de aprendizaje, recreación, capacitación, cultura, deporte, salud y convivencia para las personas que acuden a ellos. </w:t>
      </w:r>
    </w:p>
    <w:p w:rsidR="009D5F68" w:rsidRPr="009D5F68" w:rsidRDefault="009D5F68" w:rsidP="009D5F68">
      <w:pPr>
        <w:pStyle w:val="Sinespaciado"/>
        <w:jc w:val="both"/>
        <w:rPr>
          <w:rFonts w:ascii="Arial" w:hAnsi="Arial" w:cs="Arial"/>
        </w:rPr>
      </w:pPr>
    </w:p>
    <w:p w:rsidR="009D5F68" w:rsidRPr="009D5F68" w:rsidRDefault="009D5F68" w:rsidP="009D5F68">
      <w:pPr>
        <w:pStyle w:val="Sinespaciado"/>
        <w:jc w:val="both"/>
        <w:rPr>
          <w:rFonts w:ascii="Arial" w:hAnsi="Arial" w:cs="Arial"/>
        </w:rPr>
      </w:pPr>
      <w:r w:rsidRPr="009D5F68">
        <w:rPr>
          <w:rFonts w:ascii="Arial" w:hAnsi="Arial" w:cs="Arial"/>
        </w:rPr>
        <w:t xml:space="preserve">Con esta entrega, los CDC DIF PILARES se consolidan como espacios cercanos a las comunidades, donde niñas, niños y adolescentes pueden acceder a diversas </w:t>
      </w:r>
      <w:r w:rsidRPr="009D5F68">
        <w:rPr>
          <w:rFonts w:ascii="Arial" w:hAnsi="Arial" w:cs="Arial"/>
        </w:rPr>
        <w:lastRenderedPageBreak/>
        <w:t xml:space="preserve">actividades, al tiempo que se fortalecen las capacidades de las familias y la convivencia comunitaria. </w:t>
      </w:r>
    </w:p>
    <w:p w:rsidR="009D5F68" w:rsidRPr="009D5F68" w:rsidRDefault="009D5F68" w:rsidP="009D5F68">
      <w:pPr>
        <w:pStyle w:val="Sinespaciado"/>
        <w:jc w:val="both"/>
        <w:rPr>
          <w:rFonts w:ascii="Arial" w:hAnsi="Arial" w:cs="Arial"/>
        </w:rPr>
      </w:pPr>
    </w:p>
    <w:p w:rsidR="00CC1A83" w:rsidRPr="009D5F68" w:rsidRDefault="009D5F68" w:rsidP="009D5F68">
      <w:pPr>
        <w:pStyle w:val="Sinespaciado"/>
        <w:jc w:val="both"/>
        <w:rPr>
          <w:rFonts w:ascii="Arial" w:hAnsi="Arial" w:cs="Arial"/>
        </w:rPr>
      </w:pPr>
      <w:r w:rsidRPr="009D5F68">
        <w:rPr>
          <w:rFonts w:ascii="Arial" w:hAnsi="Arial" w:cs="Arial"/>
        </w:rPr>
        <w:t>****</w:t>
      </w:r>
      <w:r w:rsidRPr="009D5F68">
        <w:rPr>
          <w:rFonts w:ascii="Arial" w:hAnsi="Arial" w:cs="Arial"/>
        </w:rPr>
        <w:t>********</w:t>
      </w:r>
    </w:p>
    <w:sectPr w:rsidR="00CC1A83" w:rsidRPr="009D5F68">
      <w:headerReference w:type="default" r:id="rId9"/>
      <w:footerReference w:type="default" r:id="rId10"/>
      <w:pgSz w:w="12240" w:h="15840"/>
      <w:pgMar w:top="1417" w:right="1701" w:bottom="1417" w:left="1701" w:header="209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00476" w:rsidRDefault="00C00476">
      <w:r>
        <w:separator/>
      </w:r>
    </w:p>
  </w:endnote>
  <w:endnote w:type="continuationSeparator" w:id="0">
    <w:p w:rsidR="00C00476" w:rsidRDefault="00C00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等线 Light">
    <w:altName w:val="Segoe Print"/>
    <w:panose1 w:val="02010600030101010101"/>
    <w:charset w:val="00"/>
    <w:family w:val="auto"/>
    <w:pitch w:val="default"/>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0F3C" w:rsidRDefault="00000000">
    <w:pPr>
      <w:tabs>
        <w:tab w:val="center" w:pos="4419"/>
        <w:tab w:val="right" w:pos="8838"/>
      </w:tabs>
      <w:rPr>
        <w:color w:val="000000"/>
        <w:sz w:val="22"/>
        <w:szCs w:val="22"/>
      </w:rPr>
    </w:pPr>
    <w:r>
      <w:rPr>
        <w:noProof/>
      </w:rPr>
      <w:drawing>
        <wp:anchor distT="0" distB="0" distL="0" distR="0" simplePos="0" relativeHeight="251661312" behindDoc="1" locked="0" layoutInCell="1" allowOverlap="1">
          <wp:simplePos x="0" y="0"/>
          <wp:positionH relativeFrom="column">
            <wp:posOffset>-1079500</wp:posOffset>
          </wp:positionH>
          <wp:positionV relativeFrom="paragraph">
            <wp:posOffset>-45085</wp:posOffset>
          </wp:positionV>
          <wp:extent cx="7766050" cy="502920"/>
          <wp:effectExtent l="0" t="0" r="0" b="0"/>
          <wp:wrapNone/>
          <wp:docPr id="2126784215" name="image1.png"/>
          <wp:cNvGraphicFramePr/>
          <a:graphic xmlns:a="http://schemas.openxmlformats.org/drawingml/2006/main">
            <a:graphicData uri="http://schemas.openxmlformats.org/drawingml/2006/picture">
              <pic:pic xmlns:pic="http://schemas.openxmlformats.org/drawingml/2006/picture">
                <pic:nvPicPr>
                  <pic:cNvPr id="2126784215" name="image1.png"/>
                  <pic:cNvPicPr preferRelativeResize="0"/>
                </pic:nvPicPr>
                <pic:blipFill>
                  <a:blip r:embed="rId1"/>
                  <a:srcRect t="92273" b="2722"/>
                  <a:stretch>
                    <a:fillRect/>
                  </a:stretch>
                </pic:blipFill>
                <pic:spPr>
                  <a:xfrm>
                    <a:off x="0" y="0"/>
                    <a:ext cx="7766050" cy="5029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00476" w:rsidRDefault="00C00476">
      <w:r>
        <w:separator/>
      </w:r>
    </w:p>
  </w:footnote>
  <w:footnote w:type="continuationSeparator" w:id="0">
    <w:p w:rsidR="00C00476" w:rsidRDefault="00C00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30F3C" w:rsidRDefault="00000000">
    <w:pPr>
      <w:jc w:val="center"/>
      <w:rPr>
        <w:color w:val="000000"/>
        <w:sz w:val="22"/>
        <w:szCs w:val="22"/>
      </w:rPr>
    </w:pPr>
    <w:r>
      <w:rPr>
        <w:noProof/>
      </w:rPr>
      <w:drawing>
        <wp:anchor distT="0" distB="0" distL="0" distR="0" simplePos="0" relativeHeight="251659264" behindDoc="1" locked="0" layoutInCell="1" allowOverlap="1">
          <wp:simplePos x="0" y="0"/>
          <wp:positionH relativeFrom="column">
            <wp:posOffset>-1073150</wp:posOffset>
          </wp:positionH>
          <wp:positionV relativeFrom="paragraph">
            <wp:posOffset>-1339850</wp:posOffset>
          </wp:positionV>
          <wp:extent cx="7766050" cy="1043940"/>
          <wp:effectExtent l="0" t="0" r="0" b="0"/>
          <wp:wrapNone/>
          <wp:docPr id="2126784214" name="image1.png"/>
          <wp:cNvGraphicFramePr/>
          <a:graphic xmlns:a="http://schemas.openxmlformats.org/drawingml/2006/main">
            <a:graphicData uri="http://schemas.openxmlformats.org/drawingml/2006/picture">
              <pic:pic xmlns:pic="http://schemas.openxmlformats.org/drawingml/2006/picture">
                <pic:nvPicPr>
                  <pic:cNvPr id="2126784214" name="image1.png"/>
                  <pic:cNvPicPr preferRelativeResize="0"/>
                </pic:nvPicPr>
                <pic:blipFill>
                  <a:blip r:embed="rId1"/>
                  <a:srcRect t="3488" b="86124"/>
                  <a:stretch>
                    <a:fillRect/>
                  </a:stretch>
                </pic:blipFill>
                <pic:spPr>
                  <a:xfrm>
                    <a:off x="0" y="0"/>
                    <a:ext cx="7766050" cy="1043940"/>
                  </a:xfrm>
                  <a:prstGeom prst="rect">
                    <a:avLst/>
                  </a:prstGeom>
                </pic:spPr>
              </pic:pic>
            </a:graphicData>
          </a:graphic>
        </wp:anchor>
      </w:drawing>
    </w:r>
    <w:r>
      <w:rPr>
        <w:noProof/>
      </w:rPr>
      <mc:AlternateContent>
        <mc:Choice Requires="wps">
          <w:drawing>
            <wp:anchor distT="0" distB="0" distL="114300" distR="114300" simplePos="0" relativeHeight="251660288" behindDoc="0" locked="0" layoutInCell="1" allowOverlap="1">
              <wp:simplePos x="0" y="0"/>
              <wp:positionH relativeFrom="column">
                <wp:posOffset>4038600</wp:posOffset>
              </wp:positionH>
              <wp:positionV relativeFrom="paragraph">
                <wp:posOffset>-278765</wp:posOffset>
              </wp:positionV>
              <wp:extent cx="2367280" cy="342265"/>
              <wp:effectExtent l="0" t="0" r="0" b="0"/>
              <wp:wrapNone/>
              <wp:docPr id="2126784213" name="Rectángulo 2126784213"/>
              <wp:cNvGraphicFramePr/>
              <a:graphic xmlns:a="http://schemas.openxmlformats.org/drawingml/2006/main">
                <a:graphicData uri="http://schemas.microsoft.com/office/word/2010/wordprocessingShape">
                  <wps:wsp>
                    <wps:cNvSpPr/>
                    <wps:spPr>
                      <a:xfrm>
                        <a:off x="4168710" y="3619980"/>
                        <a:ext cx="2354580" cy="3200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630F3C" w:rsidRDefault="00000000">
                          <w:pPr>
                            <w:rPr>
                              <w:lang w:val="en-US"/>
                            </w:rPr>
                          </w:pPr>
                          <w:r>
                            <w:rPr>
                              <w:b/>
                              <w:color w:val="000000"/>
                            </w:rPr>
                            <w:t xml:space="preserve">Comunicado de prensa: </w:t>
                          </w:r>
                          <w:r w:rsidR="00D33727">
                            <w:rPr>
                              <w:b/>
                              <w:color w:val="000000"/>
                            </w:rPr>
                            <w:t>2</w:t>
                          </w:r>
                          <w:r w:rsidR="00C25F36">
                            <w:rPr>
                              <w:b/>
                              <w:color w:val="000000"/>
                            </w:rPr>
                            <w:t>74</w:t>
                          </w:r>
                          <w:r w:rsidR="009D5F68">
                            <w:rPr>
                              <w:b/>
                              <w:color w:val="000000"/>
                            </w:rPr>
                            <w:t>6</w:t>
                          </w:r>
                        </w:p>
                      </w:txbxContent>
                    </wps:txbx>
                    <wps:bodyPr spcFirstLastPara="1" wrap="square" lIns="91425" tIns="45700" rIns="91425" bIns="45700" anchor="ctr" anchorCtr="0">
                      <a:noAutofit/>
                    </wps:bodyPr>
                  </wps:wsp>
                </a:graphicData>
              </a:graphic>
            </wp:anchor>
          </w:drawing>
        </mc:Choice>
        <mc:Fallback>
          <w:pict>
            <v:rect id="Rectángulo 2126784213" o:spid="_x0000_s1026" style="position:absolute;left:0;text-align:left;margin-left:318pt;margin-top:-21.95pt;width:186.4pt;height:26.9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" fillcolor="white [3201]" strokecolor="black [3200]" strokeweight="1pt">
              <v:stroke startarrowwidth="narrow" startarrowlength="short" endarrowwidth="narrow" endarrowlength="short"/>
              <v:textbox inset="2.53958mm,1.2694mm,2.53958mm,1.2694mm">
                <w:txbxContent>
                  <w:p w:rsidR="00630F3C" w:rsidRDefault="00000000">
                    <w:pPr>
                      <w:rPr>
                        <w:lang w:val="en-US"/>
                      </w:rPr>
                    </w:pPr>
                    <w:r>
                      <w:rPr>
                        <w:b/>
                        <w:color w:val="000000"/>
                      </w:rPr>
                      <w:t xml:space="preserve">Comunicado de prensa: </w:t>
                    </w:r>
                    <w:r w:rsidR="00D33727">
                      <w:rPr>
                        <w:b/>
                        <w:color w:val="000000"/>
                      </w:rPr>
                      <w:t>2</w:t>
                    </w:r>
                    <w:r w:rsidR="00C25F36">
                      <w:rPr>
                        <w:b/>
                        <w:color w:val="000000"/>
                      </w:rPr>
                      <w:t>74</w:t>
                    </w:r>
                    <w:r w:rsidR="009D5F68">
                      <w:rPr>
                        <w:b/>
                        <w:color w:val="000000"/>
                      </w:rPr>
                      <w:t>6</w:t>
                    </w:r>
                  </w:p>
                </w:txbxContent>
              </v:textbox>
            </v:rect>
          </w:pict>
        </mc:Fallback>
      </mc:AlternateContent>
    </w:r>
  </w:p>
  <w:p w:rsidR="00630F3C" w:rsidRDefault="00630F3C">
    <w:pPr>
      <w:tabs>
        <w:tab w:val="center" w:pos="4419"/>
        <w:tab w:val="right" w:pos="8838"/>
      </w:tabs>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E58DA34"/>
    <w:multiLevelType w:val="singleLevel"/>
    <w:tmpl w:val="DE58DA3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4A892D33"/>
    <w:multiLevelType w:val="hybridMultilevel"/>
    <w:tmpl w:val="911452D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DF14BEF"/>
    <w:multiLevelType w:val="hybridMultilevel"/>
    <w:tmpl w:val="B476862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37F0735"/>
    <w:multiLevelType w:val="hybridMultilevel"/>
    <w:tmpl w:val="60F8634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6C437FD"/>
    <w:multiLevelType w:val="hybridMultilevel"/>
    <w:tmpl w:val="52DC2E7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5331574">
    <w:abstractNumId w:val="0"/>
  </w:num>
  <w:num w:numId="2" w16cid:durableId="1511211570">
    <w:abstractNumId w:val="1"/>
  </w:num>
  <w:num w:numId="3" w16cid:durableId="1574659577">
    <w:abstractNumId w:val="3"/>
  </w:num>
  <w:num w:numId="4" w16cid:durableId="301078003">
    <w:abstractNumId w:val="2"/>
  </w:num>
  <w:num w:numId="5" w16cid:durableId="19944819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A72"/>
    <w:rsid w:val="00036351"/>
    <w:rsid w:val="00046332"/>
    <w:rsid w:val="000501EB"/>
    <w:rsid w:val="000602E2"/>
    <w:rsid w:val="00062F90"/>
    <w:rsid w:val="00094D46"/>
    <w:rsid w:val="00095FB6"/>
    <w:rsid w:val="000B29EE"/>
    <w:rsid w:val="000C5C25"/>
    <w:rsid w:val="000C7507"/>
    <w:rsid w:val="000E206F"/>
    <w:rsid w:val="000E56E3"/>
    <w:rsid w:val="000E7205"/>
    <w:rsid w:val="0012202F"/>
    <w:rsid w:val="00146637"/>
    <w:rsid w:val="0019118C"/>
    <w:rsid w:val="001B0874"/>
    <w:rsid w:val="001B0F08"/>
    <w:rsid w:val="001C4B9A"/>
    <w:rsid w:val="001D2D62"/>
    <w:rsid w:val="001E13D7"/>
    <w:rsid w:val="001F6CDD"/>
    <w:rsid w:val="00244125"/>
    <w:rsid w:val="00244D80"/>
    <w:rsid w:val="00275A4E"/>
    <w:rsid w:val="00276F82"/>
    <w:rsid w:val="00284AFC"/>
    <w:rsid w:val="002A20F0"/>
    <w:rsid w:val="002B4124"/>
    <w:rsid w:val="002B50B2"/>
    <w:rsid w:val="002C2EFD"/>
    <w:rsid w:val="002E2589"/>
    <w:rsid w:val="002F4029"/>
    <w:rsid w:val="003065A5"/>
    <w:rsid w:val="003230D3"/>
    <w:rsid w:val="00323BC6"/>
    <w:rsid w:val="003248C0"/>
    <w:rsid w:val="00330128"/>
    <w:rsid w:val="00332E8F"/>
    <w:rsid w:val="00334350"/>
    <w:rsid w:val="00343D2E"/>
    <w:rsid w:val="00350F5E"/>
    <w:rsid w:val="003569EF"/>
    <w:rsid w:val="00360BC1"/>
    <w:rsid w:val="00363841"/>
    <w:rsid w:val="00385E85"/>
    <w:rsid w:val="00386A95"/>
    <w:rsid w:val="00386AEC"/>
    <w:rsid w:val="003B4C32"/>
    <w:rsid w:val="003C522E"/>
    <w:rsid w:val="003D6642"/>
    <w:rsid w:val="003F49C4"/>
    <w:rsid w:val="004070C5"/>
    <w:rsid w:val="004220AD"/>
    <w:rsid w:val="0044719A"/>
    <w:rsid w:val="00454783"/>
    <w:rsid w:val="0047099D"/>
    <w:rsid w:val="00477A9A"/>
    <w:rsid w:val="0048148C"/>
    <w:rsid w:val="00481D19"/>
    <w:rsid w:val="00484BED"/>
    <w:rsid w:val="00487EC7"/>
    <w:rsid w:val="004C0D38"/>
    <w:rsid w:val="004E16AC"/>
    <w:rsid w:val="004F4098"/>
    <w:rsid w:val="00500FCA"/>
    <w:rsid w:val="00514ACD"/>
    <w:rsid w:val="005219BA"/>
    <w:rsid w:val="00540700"/>
    <w:rsid w:val="005451C5"/>
    <w:rsid w:val="00551EA1"/>
    <w:rsid w:val="005615BA"/>
    <w:rsid w:val="005936AC"/>
    <w:rsid w:val="005B19F6"/>
    <w:rsid w:val="005B50BA"/>
    <w:rsid w:val="005C2013"/>
    <w:rsid w:val="00630F3C"/>
    <w:rsid w:val="006351FA"/>
    <w:rsid w:val="00645806"/>
    <w:rsid w:val="00663836"/>
    <w:rsid w:val="0066609C"/>
    <w:rsid w:val="006714CE"/>
    <w:rsid w:val="0068069F"/>
    <w:rsid w:val="006D4151"/>
    <w:rsid w:val="006D6E6B"/>
    <w:rsid w:val="006E0B61"/>
    <w:rsid w:val="006E786E"/>
    <w:rsid w:val="006F2641"/>
    <w:rsid w:val="00703FD7"/>
    <w:rsid w:val="00737FC8"/>
    <w:rsid w:val="0074548B"/>
    <w:rsid w:val="007516E7"/>
    <w:rsid w:val="0075693A"/>
    <w:rsid w:val="007913F8"/>
    <w:rsid w:val="007B6703"/>
    <w:rsid w:val="007E0FCA"/>
    <w:rsid w:val="007F1173"/>
    <w:rsid w:val="0081198B"/>
    <w:rsid w:val="0081367D"/>
    <w:rsid w:val="00823BBA"/>
    <w:rsid w:val="008330AD"/>
    <w:rsid w:val="008540E2"/>
    <w:rsid w:val="00870CDE"/>
    <w:rsid w:val="00894D47"/>
    <w:rsid w:val="0089669B"/>
    <w:rsid w:val="008A0AD5"/>
    <w:rsid w:val="008C0210"/>
    <w:rsid w:val="008C63C7"/>
    <w:rsid w:val="008E604A"/>
    <w:rsid w:val="008F390E"/>
    <w:rsid w:val="00912DE7"/>
    <w:rsid w:val="00913560"/>
    <w:rsid w:val="009143D6"/>
    <w:rsid w:val="00950220"/>
    <w:rsid w:val="00970173"/>
    <w:rsid w:val="00975B0E"/>
    <w:rsid w:val="009868EB"/>
    <w:rsid w:val="009B06DE"/>
    <w:rsid w:val="009C5071"/>
    <w:rsid w:val="009D482B"/>
    <w:rsid w:val="009D5F68"/>
    <w:rsid w:val="00A03744"/>
    <w:rsid w:val="00A13E7D"/>
    <w:rsid w:val="00A159A0"/>
    <w:rsid w:val="00A36177"/>
    <w:rsid w:val="00A36C58"/>
    <w:rsid w:val="00A53C50"/>
    <w:rsid w:val="00A72B6E"/>
    <w:rsid w:val="00A85867"/>
    <w:rsid w:val="00A864C3"/>
    <w:rsid w:val="00A87452"/>
    <w:rsid w:val="00A95931"/>
    <w:rsid w:val="00AC15EE"/>
    <w:rsid w:val="00AD0D8A"/>
    <w:rsid w:val="00AD5A13"/>
    <w:rsid w:val="00AF26DF"/>
    <w:rsid w:val="00B04262"/>
    <w:rsid w:val="00B26DC9"/>
    <w:rsid w:val="00B353D1"/>
    <w:rsid w:val="00B53CF6"/>
    <w:rsid w:val="00B730A6"/>
    <w:rsid w:val="00B86B85"/>
    <w:rsid w:val="00C00476"/>
    <w:rsid w:val="00C11EC4"/>
    <w:rsid w:val="00C25F36"/>
    <w:rsid w:val="00C50357"/>
    <w:rsid w:val="00C77412"/>
    <w:rsid w:val="00CA0000"/>
    <w:rsid w:val="00CC1427"/>
    <w:rsid w:val="00CC1A83"/>
    <w:rsid w:val="00CD1CC4"/>
    <w:rsid w:val="00CD2043"/>
    <w:rsid w:val="00CD490B"/>
    <w:rsid w:val="00D04846"/>
    <w:rsid w:val="00D33727"/>
    <w:rsid w:val="00D435EF"/>
    <w:rsid w:val="00D54FA0"/>
    <w:rsid w:val="00D60281"/>
    <w:rsid w:val="00D66BB6"/>
    <w:rsid w:val="00D67B3D"/>
    <w:rsid w:val="00D75208"/>
    <w:rsid w:val="00DA7483"/>
    <w:rsid w:val="00DB5AA4"/>
    <w:rsid w:val="00DC3351"/>
    <w:rsid w:val="00DC7A3F"/>
    <w:rsid w:val="00DF7092"/>
    <w:rsid w:val="00E76818"/>
    <w:rsid w:val="00E94A60"/>
    <w:rsid w:val="00EA0A78"/>
    <w:rsid w:val="00ED5A11"/>
    <w:rsid w:val="00EE6DDF"/>
    <w:rsid w:val="00EE78A7"/>
    <w:rsid w:val="00EF3CFD"/>
    <w:rsid w:val="00F03A72"/>
    <w:rsid w:val="00F42F82"/>
    <w:rsid w:val="00F52A88"/>
    <w:rsid w:val="00F851C4"/>
    <w:rsid w:val="00FB1CF5"/>
    <w:rsid w:val="00FE7F42"/>
    <w:rsid w:val="00FF03DE"/>
    <w:rsid w:val="00FF307C"/>
    <w:rsid w:val="00FF5F2B"/>
    <w:rsid w:val="198322D3"/>
    <w:rsid w:val="4C15677E"/>
    <w:rsid w:val="6F230480"/>
    <w:rsid w:val="79CA47C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DE50BFA"/>
  <w15:docId w15:val="{8139414B-314A-424C-A8C0-C4A37A6F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s-MX"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s-MX"/>
    </w:rPr>
  </w:style>
  <w:style w:type="paragraph" w:styleId="Ttulo1">
    <w:name w:val="heading 1"/>
    <w:basedOn w:val="Normal"/>
    <w:next w:val="Normal"/>
    <w:uiPriority w:val="9"/>
    <w:qFormat/>
    <w:pPr>
      <w:keepNext/>
      <w:keepLines/>
      <w:spacing w:before="240"/>
      <w:outlineLvl w:val="0"/>
    </w:pPr>
    <w:rPr>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563C1" w:themeColor="hyperlink"/>
      <w:u w:val="single"/>
    </w:rPr>
  </w:style>
  <w:style w:type="character" w:styleId="Textoennegrita">
    <w:name w:val="Strong"/>
    <w:basedOn w:val="Fuentedeprrafopredeter"/>
    <w:uiPriority w:val="22"/>
    <w:qFormat/>
    <w:rPr>
      <w:b/>
      <w:bCs/>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lang w:val="en-US"/>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
    <w:name w:val="TableNormal"/>
    <w:qFormat/>
    <w:tblPr>
      <w:tblCellMar>
        <w:top w:w="100" w:type="dxa"/>
        <w:left w:w="100" w:type="dxa"/>
        <w:bottom w:w="100" w:type="dxa"/>
        <w:right w:w="100" w:type="dxa"/>
      </w:tblCellMar>
    </w:tbl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hAnsi="Cambria" w:cs="Times New Roman"/>
      <w:sz w:val="24"/>
      <w:szCs w:val="24"/>
      <w:lang w:eastAsia="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uiPriority w:val="9"/>
    <w:qFormat/>
    <w:rPr>
      <w:rFonts w:asciiTheme="majorHAnsi" w:eastAsiaTheme="majorEastAsia" w:hAnsiTheme="majorHAnsi" w:cstheme="majorBidi"/>
      <w:color w:val="2F5496" w:themeColor="accent1" w:themeShade="BF"/>
      <w:kern w:val="0"/>
      <w:sz w:val="32"/>
      <w:szCs w:val="32"/>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hPxLh4NROof45tkOomzwWjv5ww==">CgMxLjA4AHIhMVVsZkJDSFNmbGhpcU0yZnNHUFpUYXM5OXkwOElGTHAt</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389</Words>
  <Characters>2143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Microsoft Office User</cp:lastModifiedBy>
  <cp:revision>13</cp:revision>
  <dcterms:created xsi:type="dcterms:W3CDTF">2026-06-01T20:09:00Z</dcterms:created>
  <dcterms:modified xsi:type="dcterms:W3CDTF">2026-09-24T18:12:00Z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B84D7AA4C86144D7A415B9E978B77ECF_13</vt:lpwstr>
  </property>
</Properties>
</file>